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F90840"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3A369A">
        <w:rPr>
          <w:rFonts w:ascii="Times New Roman" w:hAnsi="Times New Roman"/>
          <w:sz w:val="28"/>
          <w:szCs w:val="28"/>
        </w:rPr>
        <w:t>30</w:t>
      </w:r>
      <w:r>
        <w:rPr>
          <w:rFonts w:ascii="Times New Roman" w:hAnsi="Times New Roman"/>
          <w:sz w:val="28"/>
          <w:szCs w:val="28"/>
        </w:rPr>
        <w:t>»</w:t>
      </w:r>
      <w:r w:rsidR="003A369A">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3A369A">
        <w:rPr>
          <w:rFonts w:ascii="Times New Roman" w:hAnsi="Times New Roman"/>
          <w:sz w:val="28"/>
          <w:szCs w:val="28"/>
        </w:rPr>
        <w:t>500</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5E248A">
        <w:rPr>
          <w:rFonts w:ascii="Times New Roman" w:hAnsi="Times New Roman"/>
          <w:b/>
          <w:sz w:val="28"/>
          <w:szCs w:val="28"/>
          <w:lang w:eastAsia="ru-RU"/>
        </w:rPr>
        <w:t>2</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5E248A"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 xml:space="preserve">Предоставление </w:t>
      </w:r>
      <w:r w:rsidR="005E248A">
        <w:rPr>
          <w:rFonts w:ascii="Times New Roman" w:hAnsi="Times New Roman" w:cs="Times New Roman"/>
          <w:b/>
          <w:sz w:val="28"/>
          <w:szCs w:val="28"/>
        </w:rPr>
        <w:t>информации об объектах</w:t>
      </w:r>
    </w:p>
    <w:p w:rsidR="005E248A" w:rsidRDefault="005E248A"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недвижимого имущества, находящихся в </w:t>
      </w:r>
    </w:p>
    <w:p w:rsidR="005E248A" w:rsidRDefault="005E248A"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муниципальной собственности и предназначенных </w:t>
      </w:r>
    </w:p>
    <w:p w:rsidR="00417BB3" w:rsidRPr="008C7586" w:rsidRDefault="005E248A"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для сдачи в аренду</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Pr="00A22A3F" w:rsidRDefault="00417BB3" w:rsidP="0068049D">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68049D">
        <w:rPr>
          <w:rFonts w:ascii="Times New Roman" w:hAnsi="Times New Roman"/>
          <w:sz w:val="28"/>
          <w:szCs w:val="28"/>
        </w:rPr>
        <w:t xml:space="preserve">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5E248A">
        <w:rPr>
          <w:rFonts w:ascii="Times New Roman" w:hAnsi="Times New Roman" w:cs="Times New Roman"/>
          <w:sz w:val="28"/>
          <w:szCs w:val="28"/>
        </w:rPr>
        <w:t>2</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w:t>
      </w:r>
      <w:r w:rsidR="00A22A3F" w:rsidRPr="00A22A3F">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w:t>
      </w:r>
      <w:r w:rsidR="00A22A3F">
        <w:rPr>
          <w:rFonts w:ascii="Times New Roman" w:hAnsi="Times New Roman" w:cs="Times New Roman"/>
          <w:sz w:val="28"/>
          <w:szCs w:val="28"/>
        </w:rPr>
        <w:t xml:space="preserve">Предоставление </w:t>
      </w:r>
      <w:r w:rsidR="005E248A">
        <w:rPr>
          <w:rFonts w:ascii="Times New Roman" w:hAnsi="Times New Roman" w:cs="Times New Roman"/>
          <w:sz w:val="28"/>
          <w:szCs w:val="28"/>
        </w:rPr>
        <w:t>информации об объектах недвижимого имущества, находящихся в муниципальной собственности и предназначенных для сдачи в аренду</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Pr>
          <w:rFonts w:ascii="Times New Roman" w:hAnsi="Times New Roman" w:cs="Times New Roman"/>
          <w:color w:val="000000" w:themeColor="text1"/>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w:t>
      </w:r>
      <w:r w:rsidRPr="000E431B">
        <w:rPr>
          <w:rFonts w:ascii="Times New Roman" w:hAnsi="Times New Roman" w:cs="Times New Roman"/>
          <w:color w:val="000000" w:themeColor="text1"/>
          <w:sz w:val="28"/>
          <w:szCs w:val="28"/>
        </w:rPr>
        <w:lastRenderedPageBreak/>
        <w:t>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xml:space="preserve">- «5.3.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w:t>
      </w:r>
      <w:r w:rsidRPr="000E431B">
        <w:rPr>
          <w:rStyle w:val="blk"/>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Style w:val="blk"/>
          <w:rFonts w:ascii="Times New Roman" w:hAnsi="Times New Roman" w:cs="Times New Roman"/>
          <w:sz w:val="28"/>
          <w:szCs w:val="28"/>
        </w:rPr>
        <w:t xml:space="preserve">». </w:t>
      </w:r>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Кейдунова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40" w:rsidRDefault="00F90840" w:rsidP="00651D53">
      <w:pPr>
        <w:spacing w:after="0" w:line="240" w:lineRule="auto"/>
      </w:pPr>
      <w:r>
        <w:separator/>
      </w:r>
    </w:p>
  </w:endnote>
  <w:endnote w:type="continuationSeparator" w:id="0">
    <w:p w:rsidR="00F90840" w:rsidRDefault="00F90840"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40" w:rsidRDefault="00F90840" w:rsidP="00651D53">
      <w:pPr>
        <w:spacing w:after="0" w:line="240" w:lineRule="auto"/>
      </w:pPr>
      <w:r>
        <w:separator/>
      </w:r>
    </w:p>
  </w:footnote>
  <w:footnote w:type="continuationSeparator" w:id="0">
    <w:p w:rsidR="00F90840" w:rsidRDefault="00F90840"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69A"/>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049D"/>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0840"/>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0064-63BB-44AE-9A46-514E6B4B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24</cp:revision>
  <cp:lastPrinted>2020-05-14T11:51:00Z</cp:lastPrinted>
  <dcterms:created xsi:type="dcterms:W3CDTF">2019-07-13T08:20:00Z</dcterms:created>
  <dcterms:modified xsi:type="dcterms:W3CDTF">2021-01-29T10:55:00Z</dcterms:modified>
</cp:coreProperties>
</file>